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D6D" w:rsidRDefault="001B3D6D" w:rsidP="00DD6E17">
      <w:pPr>
        <w:spacing w:after="120"/>
        <w:ind w:left="567"/>
        <w:jc w:val="center"/>
        <w:rPr>
          <w:b/>
          <w:smallCaps/>
          <w:sz w:val="22"/>
          <w:szCs w:val="22"/>
        </w:rPr>
      </w:pPr>
    </w:p>
    <w:p w:rsidR="000A58BB" w:rsidRPr="001B3D6D" w:rsidRDefault="000A58BB" w:rsidP="00DD6E17">
      <w:pPr>
        <w:spacing w:after="120"/>
        <w:ind w:left="567"/>
        <w:jc w:val="center"/>
        <w:rPr>
          <w:b/>
          <w:smallCaps/>
          <w:sz w:val="22"/>
          <w:szCs w:val="22"/>
        </w:rPr>
      </w:pPr>
      <w:r w:rsidRPr="001B3D6D">
        <w:rPr>
          <w:b/>
          <w:smallCaps/>
          <w:sz w:val="22"/>
          <w:szCs w:val="22"/>
        </w:rPr>
        <w:t>KLAUZULA INFORMACYJNA BIURA INFORMACJI KREDYTOWEJ</w:t>
      </w:r>
    </w:p>
    <w:p w:rsidR="000A58BB" w:rsidRPr="00DD6E17" w:rsidRDefault="000A58BB" w:rsidP="000A58BB">
      <w:pPr>
        <w:spacing w:after="120"/>
        <w:ind w:left="567"/>
        <w:jc w:val="both"/>
        <w:rPr>
          <w:rFonts w:ascii="Calibri" w:hAnsi="Calibri" w:cs="Calibri"/>
          <w:b/>
          <w:smallCaps/>
          <w:color w:val="008866"/>
          <w:sz w:val="22"/>
          <w:szCs w:val="22"/>
        </w:rPr>
      </w:pPr>
    </w:p>
    <w:p w:rsidR="000A58BB" w:rsidRPr="00675032" w:rsidRDefault="000A58BB" w:rsidP="00C749D1">
      <w:pPr>
        <w:jc w:val="both"/>
        <w:rPr>
          <w:sz w:val="18"/>
          <w:szCs w:val="18"/>
        </w:rPr>
      </w:pPr>
      <w:r w:rsidRPr="00675032">
        <w:rPr>
          <w:sz w:val="18"/>
          <w:szCs w:val="18"/>
        </w:rPr>
        <w:t>Pani/Pana dane osobowe mogą być przekazywane przez Bank Spółdzielczy w Zawadzkiem (dalej „</w:t>
      </w:r>
      <w:r w:rsidRPr="00675032">
        <w:rPr>
          <w:b/>
          <w:sz w:val="18"/>
          <w:szCs w:val="18"/>
        </w:rPr>
        <w:t>Bank</w:t>
      </w:r>
      <w:r w:rsidRPr="00675032">
        <w:rPr>
          <w:sz w:val="18"/>
          <w:szCs w:val="18"/>
        </w:rPr>
        <w:t>”) na podstawie art.105 ust. 1 pkt 1c oraz art. 105 ust. 4 ustawy z dnia 29 sierpnia 1997 r. ustawy Prawo bankowe (dalej „</w:t>
      </w:r>
      <w:r w:rsidRPr="00675032">
        <w:rPr>
          <w:b/>
          <w:sz w:val="18"/>
          <w:szCs w:val="18"/>
        </w:rPr>
        <w:t>Prawo bankowe</w:t>
      </w:r>
      <w:r w:rsidRPr="00675032">
        <w:rPr>
          <w:sz w:val="18"/>
          <w:szCs w:val="18"/>
        </w:rPr>
        <w:t>”) – do Biura Informacji Kredytowej S.A. z siedzibą w Warszawie, ul. Jacka Kaczmarskiego 77 a, 02-679 Warszawa (dalej „</w:t>
      </w:r>
      <w:r w:rsidRPr="00675032">
        <w:rPr>
          <w:b/>
          <w:sz w:val="18"/>
          <w:szCs w:val="18"/>
        </w:rPr>
        <w:t>BIK</w:t>
      </w:r>
      <w:r w:rsidRPr="00675032">
        <w:rPr>
          <w:sz w:val="18"/>
          <w:szCs w:val="18"/>
        </w:rPr>
        <w:t>”). W związku z </w:t>
      </w:r>
      <w:bookmarkStart w:id="0" w:name="_GoBack"/>
      <w:bookmarkEnd w:id="0"/>
      <w:r w:rsidRPr="00675032">
        <w:rPr>
          <w:sz w:val="18"/>
          <w:szCs w:val="18"/>
        </w:rPr>
        <w:t>powyższym BIK – obok Banku – staje się Administratorem Pani/Pana danych osobowych. Poniżej przedstawiamy podstawowe informacje dotyczące przetwarzania Pani/Pana danych osobowych przez BIK.</w:t>
      </w:r>
    </w:p>
    <w:p w:rsidR="000A58BB" w:rsidRPr="00675032" w:rsidRDefault="000A58BB" w:rsidP="00675032">
      <w:pPr>
        <w:pStyle w:val="Tekstpodstawowywcity2"/>
        <w:tabs>
          <w:tab w:val="left" w:pos="-3544"/>
          <w:tab w:val="num" w:pos="993"/>
        </w:tabs>
        <w:spacing w:line="240" w:lineRule="auto"/>
        <w:ind w:left="0"/>
        <w:rPr>
          <w:b/>
          <w:sz w:val="20"/>
        </w:rPr>
      </w:pPr>
    </w:p>
    <w:p w:rsidR="000A58BB" w:rsidRPr="00675032" w:rsidRDefault="000A58BB" w:rsidP="00675032">
      <w:pPr>
        <w:pStyle w:val="Tekstpodstawowywcity2"/>
        <w:numPr>
          <w:ilvl w:val="0"/>
          <w:numId w:val="2"/>
        </w:numPr>
        <w:tabs>
          <w:tab w:val="clear" w:pos="823"/>
          <w:tab w:val="left" w:pos="-3544"/>
          <w:tab w:val="num" w:pos="-3261"/>
        </w:tabs>
        <w:spacing w:after="120" w:line="240" w:lineRule="auto"/>
        <w:ind w:left="284" w:hanging="284"/>
        <w:rPr>
          <w:b/>
          <w:sz w:val="20"/>
        </w:rPr>
      </w:pPr>
      <w:r w:rsidRPr="00675032">
        <w:rPr>
          <w:b/>
          <w:sz w:val="20"/>
        </w:rPr>
        <w:t>Administrator danych</w:t>
      </w:r>
    </w:p>
    <w:p w:rsidR="00675032" w:rsidRDefault="000A58BB" w:rsidP="00675032">
      <w:pPr>
        <w:spacing w:after="120"/>
        <w:jc w:val="both"/>
        <w:rPr>
          <w:sz w:val="18"/>
          <w:szCs w:val="18"/>
        </w:rPr>
      </w:pPr>
      <w:r w:rsidRPr="00675032">
        <w:rPr>
          <w:sz w:val="18"/>
          <w:szCs w:val="18"/>
        </w:rPr>
        <w:t>Administratorem Pani/Pana danych osobowych jest Biuro Informacji Kredytowej S.A. z siedzibą w Warszawie, ul. Jacka Kaczmarskiego 77a, 02-679 Warszawa (dalej „</w:t>
      </w:r>
      <w:r w:rsidRPr="00675032">
        <w:rPr>
          <w:b/>
          <w:sz w:val="18"/>
          <w:szCs w:val="18"/>
        </w:rPr>
        <w:t>BIK</w:t>
      </w:r>
      <w:r w:rsidRPr="00675032">
        <w:rPr>
          <w:sz w:val="18"/>
          <w:szCs w:val="18"/>
        </w:rPr>
        <w:t>”).</w:t>
      </w:r>
    </w:p>
    <w:p w:rsidR="00675032" w:rsidRPr="00675032" w:rsidRDefault="00675032" w:rsidP="00675032">
      <w:pPr>
        <w:spacing w:after="120"/>
        <w:jc w:val="both"/>
        <w:rPr>
          <w:sz w:val="18"/>
          <w:szCs w:val="18"/>
        </w:rPr>
      </w:pPr>
    </w:p>
    <w:p w:rsidR="000A58BB" w:rsidRPr="00675032" w:rsidRDefault="000A58BB" w:rsidP="00675032">
      <w:pPr>
        <w:pStyle w:val="Tekstpodstawowywcity2"/>
        <w:numPr>
          <w:ilvl w:val="0"/>
          <w:numId w:val="2"/>
        </w:numPr>
        <w:tabs>
          <w:tab w:val="clear" w:pos="823"/>
          <w:tab w:val="num" w:pos="-4536"/>
          <w:tab w:val="left" w:pos="-3544"/>
          <w:tab w:val="num" w:pos="-3261"/>
        </w:tabs>
        <w:spacing w:after="120" w:line="240" w:lineRule="auto"/>
        <w:ind w:left="284" w:hanging="284"/>
        <w:rPr>
          <w:b/>
          <w:sz w:val="20"/>
        </w:rPr>
      </w:pPr>
      <w:r w:rsidRPr="00675032">
        <w:rPr>
          <w:b/>
          <w:sz w:val="20"/>
        </w:rPr>
        <w:t>Dane kontaktowe.</w:t>
      </w:r>
    </w:p>
    <w:p w:rsidR="000A58BB" w:rsidRDefault="000A58BB" w:rsidP="00C749D1">
      <w:pPr>
        <w:jc w:val="both"/>
        <w:rPr>
          <w:sz w:val="18"/>
          <w:szCs w:val="18"/>
        </w:rPr>
      </w:pPr>
      <w:r w:rsidRPr="00675032">
        <w:rPr>
          <w:sz w:val="18"/>
          <w:szCs w:val="18"/>
        </w:rPr>
        <w:t xml:space="preserve">Z BIK można się skontaktować poprzez adres e-mail: </w:t>
      </w:r>
      <w:hyperlink r:id="rId8" w:history="1">
        <w:r w:rsidRPr="00675032">
          <w:rPr>
            <w:sz w:val="18"/>
            <w:szCs w:val="18"/>
          </w:rPr>
          <w:t>kontakt@bik.pl</w:t>
        </w:r>
      </w:hyperlink>
      <w:r w:rsidRPr="00675032">
        <w:rPr>
          <w:sz w:val="18"/>
          <w:szCs w:val="18"/>
        </w:rPr>
        <w:t xml:space="preserve"> lub pisemnie (Centrum Obsługi Klienta BIK S.A., 02-676 Warszawa, ul. Postępu 17A). W BIK wyznaczony jest Inspektor Ochrony Danych, z którym można się skontaktować poprzez e-mail: </w:t>
      </w:r>
      <w:hyperlink r:id="rId9" w:history="1">
        <w:r w:rsidRPr="00675032">
          <w:rPr>
            <w:sz w:val="18"/>
            <w:szCs w:val="18"/>
          </w:rPr>
          <w:t>iod@bik.pl</w:t>
        </w:r>
      </w:hyperlink>
      <w:r w:rsidRPr="00675032">
        <w:rPr>
          <w:sz w:val="18"/>
          <w:szCs w:val="18"/>
        </w:rPr>
        <w:t xml:space="preserve"> lub pisemnie (Inspektor Ochrony Danych, Centrum Obsługi Klienta BIK S.A., 02-676 Warszawa, ul. Postępu 17A). Z Inspektorem Ochrony Danych można się kontaktować we wszystkich sprawach dotyczących przetwarzania danych osobowych oraz korzystania z praw związanych z przetwarzaniem danych.</w:t>
      </w:r>
    </w:p>
    <w:p w:rsidR="00675032" w:rsidRPr="00675032" w:rsidRDefault="00675032" w:rsidP="00675032">
      <w:pPr>
        <w:spacing w:after="120"/>
        <w:jc w:val="both"/>
        <w:rPr>
          <w:sz w:val="18"/>
          <w:szCs w:val="18"/>
        </w:rPr>
      </w:pPr>
    </w:p>
    <w:p w:rsidR="000A58BB" w:rsidRPr="00675032" w:rsidRDefault="000A58BB" w:rsidP="00675032">
      <w:pPr>
        <w:pStyle w:val="Tekstpodstawowywcity2"/>
        <w:numPr>
          <w:ilvl w:val="0"/>
          <w:numId w:val="2"/>
        </w:numPr>
        <w:tabs>
          <w:tab w:val="clear" w:pos="823"/>
          <w:tab w:val="left" w:pos="-3544"/>
          <w:tab w:val="num" w:pos="-3402"/>
          <w:tab w:val="num" w:pos="-2410"/>
        </w:tabs>
        <w:spacing w:after="120" w:line="240" w:lineRule="auto"/>
        <w:ind w:left="284" w:hanging="284"/>
        <w:rPr>
          <w:b/>
          <w:sz w:val="20"/>
          <w:lang w:eastAsia="ar-SA"/>
        </w:rPr>
      </w:pPr>
      <w:r w:rsidRPr="00675032">
        <w:rPr>
          <w:b/>
          <w:sz w:val="20"/>
          <w:lang w:eastAsia="ar-SA"/>
        </w:rPr>
        <w:t xml:space="preserve">Cele </w:t>
      </w:r>
      <w:r w:rsidRPr="00675032">
        <w:rPr>
          <w:b/>
          <w:sz w:val="20"/>
        </w:rPr>
        <w:t>przetwarzania</w:t>
      </w:r>
      <w:r w:rsidRPr="00675032">
        <w:rPr>
          <w:b/>
          <w:sz w:val="20"/>
          <w:lang w:eastAsia="ar-SA"/>
        </w:rPr>
        <w:t xml:space="preserve"> oraz podstawa prawna przetwarzania</w:t>
      </w:r>
    </w:p>
    <w:p w:rsidR="000A58BB" w:rsidRPr="00675032" w:rsidRDefault="000A58BB" w:rsidP="00675032">
      <w:pPr>
        <w:suppressAutoHyphens/>
        <w:autoSpaceDN w:val="0"/>
        <w:spacing w:after="120"/>
        <w:jc w:val="both"/>
        <w:textAlignment w:val="baseline"/>
        <w:rPr>
          <w:sz w:val="18"/>
          <w:szCs w:val="18"/>
        </w:rPr>
      </w:pPr>
      <w:r w:rsidRPr="00675032">
        <w:rPr>
          <w:sz w:val="18"/>
          <w:szCs w:val="18"/>
        </w:rPr>
        <w:t>Pani/Pana dane będą przetwarzane przez BIK w celach:</w:t>
      </w:r>
    </w:p>
    <w:p w:rsidR="000A58BB" w:rsidRPr="00675032" w:rsidRDefault="000A58BB" w:rsidP="00C749D1">
      <w:pPr>
        <w:pStyle w:val="Akapitzlist"/>
        <w:numPr>
          <w:ilvl w:val="0"/>
          <w:numId w:val="3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t>wykonywania czynności bankowych, w szczególności oceny zdolności kredytowej i analizy ryzyka kredytowego, w tym z wykorzystaniem profilowania – podstawą prawną przetwarzania danych osobowych są przepisy Prawa bankowego;</w:t>
      </w:r>
    </w:p>
    <w:p w:rsidR="000A58BB" w:rsidRPr="00675032" w:rsidRDefault="000A58BB" w:rsidP="00C749D1">
      <w:pPr>
        <w:pStyle w:val="Akapitzlist"/>
        <w:numPr>
          <w:ilvl w:val="0"/>
          <w:numId w:val="3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t>statystycznych i analiz, których wynikiem nie są dane osobowe i wynik ten nie służy za podstawę podejmowania decyzji dotyczących konkretnych osób fizycznych – podstawą prawną przetwarzania danych osobowych jest prawnie uzasadniony interes administratora danych wynikający z przepisów Prawa bankowego;</w:t>
      </w:r>
    </w:p>
    <w:p w:rsidR="000A58BB" w:rsidRPr="00675032" w:rsidRDefault="000A58BB" w:rsidP="00C749D1">
      <w:pPr>
        <w:pStyle w:val="Akapitzlist"/>
        <w:numPr>
          <w:ilvl w:val="0"/>
          <w:numId w:val="3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t>w celu stosowania metod wewnętrznych oraz innych metod i modeli, o których mowa w art. 105 a ust. 4 Prawa bankowego – podstawą przetwarzania danych osobowych jest przepis Prawa bankowego;</w:t>
      </w:r>
    </w:p>
    <w:p w:rsidR="000A58BB" w:rsidRDefault="000A58BB" w:rsidP="00C749D1">
      <w:pPr>
        <w:pStyle w:val="Akapitzlist"/>
        <w:numPr>
          <w:ilvl w:val="0"/>
          <w:numId w:val="3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t>w celu rozpatrywania Pani/Pana potencjalnych reklamacji i zgłoszonych roszczeń – podstawą prawną przetwarzania danych osobowych jest prawnie uzasadniony interes administratora danych, polegający na rozpatrzeniu zgłoszenia będącego przedmiotem reklamacji oraz obrony przez potencjalnymi roszczeniami.</w:t>
      </w:r>
    </w:p>
    <w:p w:rsidR="00675032" w:rsidRPr="00675032" w:rsidRDefault="00675032" w:rsidP="00675032">
      <w:pPr>
        <w:pStyle w:val="Akapitzlist"/>
        <w:numPr>
          <w:ilvl w:val="0"/>
          <w:numId w:val="0"/>
        </w:numPr>
        <w:spacing w:before="120" w:after="120" w:line="240" w:lineRule="atLeast"/>
        <w:ind w:left="284"/>
        <w:jc w:val="both"/>
        <w:rPr>
          <w:b w:val="0"/>
          <w:sz w:val="18"/>
          <w:szCs w:val="18"/>
        </w:rPr>
      </w:pPr>
    </w:p>
    <w:p w:rsidR="000A58BB" w:rsidRPr="00675032" w:rsidRDefault="000A58BB" w:rsidP="001B3D6D">
      <w:pPr>
        <w:pStyle w:val="Tekstpodstawowywcity2"/>
        <w:numPr>
          <w:ilvl w:val="0"/>
          <w:numId w:val="2"/>
        </w:numPr>
        <w:tabs>
          <w:tab w:val="clear" w:pos="823"/>
          <w:tab w:val="left" w:pos="-3544"/>
          <w:tab w:val="num" w:pos="-3402"/>
        </w:tabs>
        <w:spacing w:after="120" w:line="240" w:lineRule="auto"/>
        <w:ind w:left="284" w:hanging="284"/>
        <w:rPr>
          <w:b/>
          <w:sz w:val="20"/>
        </w:rPr>
      </w:pPr>
      <w:r w:rsidRPr="00675032">
        <w:rPr>
          <w:b/>
          <w:sz w:val="20"/>
          <w:lang w:eastAsia="ar-SA"/>
        </w:rPr>
        <w:t>Kategorie</w:t>
      </w:r>
      <w:r w:rsidRPr="00675032">
        <w:rPr>
          <w:b/>
          <w:sz w:val="20"/>
        </w:rPr>
        <w:t xml:space="preserve"> przetwarzanych danych</w:t>
      </w:r>
    </w:p>
    <w:p w:rsidR="000A58BB" w:rsidRPr="00675032" w:rsidRDefault="000A58BB" w:rsidP="00675032">
      <w:pPr>
        <w:suppressAutoHyphens/>
        <w:autoSpaceDN w:val="0"/>
        <w:spacing w:after="120"/>
        <w:jc w:val="both"/>
        <w:textAlignment w:val="baseline"/>
        <w:rPr>
          <w:sz w:val="18"/>
          <w:szCs w:val="18"/>
        </w:rPr>
      </w:pPr>
      <w:r w:rsidRPr="00675032">
        <w:rPr>
          <w:sz w:val="18"/>
          <w:szCs w:val="18"/>
        </w:rPr>
        <w:t>BIK przetwarza Pani/Pana dane osobowe w zakresie:</w:t>
      </w:r>
    </w:p>
    <w:p w:rsidR="000A58BB" w:rsidRPr="00675032" w:rsidRDefault="000A58BB" w:rsidP="00C749D1">
      <w:pPr>
        <w:pStyle w:val="Akapitzlist"/>
        <w:numPr>
          <w:ilvl w:val="0"/>
          <w:numId w:val="4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t>dane identyfikujące osobę: PESEL/NIP, imię, nazwisko, dane dotyczące dokumentów tożsamości, nazwisko rodowe, nazwisko panieńskie matki, imię ojca, imię matki, data urodzenia, miejsce urodzenia, obywatelstwo;</w:t>
      </w:r>
    </w:p>
    <w:p w:rsidR="000A58BB" w:rsidRPr="00675032" w:rsidRDefault="000A58BB" w:rsidP="00C749D1">
      <w:pPr>
        <w:pStyle w:val="Akapitzlist"/>
        <w:numPr>
          <w:ilvl w:val="0"/>
          <w:numId w:val="4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t>dane adresowe i teleadresowe,</w:t>
      </w:r>
    </w:p>
    <w:p w:rsidR="000A58BB" w:rsidRPr="00675032" w:rsidRDefault="000A58BB" w:rsidP="00C749D1">
      <w:pPr>
        <w:pStyle w:val="Akapitzlist"/>
        <w:numPr>
          <w:ilvl w:val="0"/>
          <w:numId w:val="4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t xml:space="preserve">dane </w:t>
      </w:r>
      <w:proofErr w:type="spellStart"/>
      <w:r w:rsidRPr="00675032">
        <w:rPr>
          <w:b w:val="0"/>
          <w:sz w:val="18"/>
          <w:szCs w:val="18"/>
        </w:rPr>
        <w:t>socjo</w:t>
      </w:r>
      <w:proofErr w:type="spellEnd"/>
      <w:r w:rsidRPr="00675032">
        <w:rPr>
          <w:b w:val="0"/>
          <w:sz w:val="18"/>
          <w:szCs w:val="18"/>
        </w:rPr>
        <w:t>-demograficzne: informacje o zatrudnieniu lub prowadzonej działalności gospodarczej, wykształcenie, dochody i wydatki, stan cywilny, liczba osób w gospodarstwie domowym, ustrój majątkowy małżonków;</w:t>
      </w:r>
    </w:p>
    <w:p w:rsidR="00675032" w:rsidRDefault="000A58BB" w:rsidP="00C749D1">
      <w:pPr>
        <w:pStyle w:val="Akapitzlist"/>
        <w:numPr>
          <w:ilvl w:val="0"/>
          <w:numId w:val="4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t>dane dotyczące zobowiązania: źródło zobowiązania, kwota i waluta, numer i stan rachunku, data powstania zobowiązania, warunki spłaty zobowiązania, cel finansowania, zabezpieczenie prawne i przedmiot zabezpieczenia, przebieg realizacji zobowiązania, stan zadłużenia z tytułu zobowiązania na dzień wygaśnięcia zobowiązania, data wygaśnięcia zobowiązania, przyczyny niewykonania zobowiązania lub dopuszczenia się zwłoki, o której mowa w art. 105a ust. 3 ustawy, przyczyny wygaśnięcia zobowiązania, informacja o upadłości konsumenckiej, decyzja kredytowa i dane dotyczące wniosków kredytowych.</w:t>
      </w:r>
    </w:p>
    <w:p w:rsidR="00C749D1" w:rsidRPr="00C749D1" w:rsidRDefault="00C749D1" w:rsidP="00C749D1">
      <w:pPr>
        <w:pStyle w:val="Akapitzlist"/>
        <w:numPr>
          <w:ilvl w:val="0"/>
          <w:numId w:val="0"/>
        </w:numPr>
        <w:ind w:left="284"/>
        <w:jc w:val="both"/>
        <w:rPr>
          <w:b w:val="0"/>
          <w:sz w:val="18"/>
          <w:szCs w:val="18"/>
        </w:rPr>
      </w:pPr>
    </w:p>
    <w:p w:rsidR="000A58BB" w:rsidRPr="00675032" w:rsidRDefault="000A58BB" w:rsidP="00675032">
      <w:pPr>
        <w:pStyle w:val="Tekstpodstawowywcity2"/>
        <w:numPr>
          <w:ilvl w:val="0"/>
          <w:numId w:val="2"/>
        </w:numPr>
        <w:tabs>
          <w:tab w:val="clear" w:pos="823"/>
          <w:tab w:val="left" w:pos="-3544"/>
        </w:tabs>
        <w:spacing w:after="120" w:line="240" w:lineRule="auto"/>
        <w:ind w:left="284" w:hanging="284"/>
        <w:rPr>
          <w:b/>
          <w:sz w:val="20"/>
        </w:rPr>
      </w:pPr>
      <w:r w:rsidRPr="00675032">
        <w:rPr>
          <w:b/>
          <w:sz w:val="20"/>
        </w:rPr>
        <w:t>Źródło pochodzenia danych.</w:t>
      </w:r>
    </w:p>
    <w:p w:rsidR="000A58BB" w:rsidRPr="00675032" w:rsidRDefault="000A58BB" w:rsidP="00675032">
      <w:pPr>
        <w:suppressAutoHyphens/>
        <w:autoSpaceDN w:val="0"/>
        <w:jc w:val="both"/>
        <w:textAlignment w:val="baseline"/>
        <w:rPr>
          <w:sz w:val="18"/>
          <w:szCs w:val="18"/>
        </w:rPr>
      </w:pPr>
      <w:r w:rsidRPr="00675032">
        <w:rPr>
          <w:sz w:val="18"/>
          <w:szCs w:val="18"/>
        </w:rPr>
        <w:t>BIK pozyskuje</w:t>
      </w:r>
      <w:r w:rsidR="00A43716" w:rsidRPr="00675032">
        <w:rPr>
          <w:sz w:val="18"/>
          <w:szCs w:val="18"/>
        </w:rPr>
        <w:t xml:space="preserve"> Pani/Pana dane osobowe z Banku.</w:t>
      </w:r>
    </w:p>
    <w:p w:rsidR="00675032" w:rsidRDefault="000A58BB" w:rsidP="00675032">
      <w:pPr>
        <w:jc w:val="both"/>
        <w:rPr>
          <w:sz w:val="18"/>
          <w:szCs w:val="18"/>
        </w:rPr>
      </w:pPr>
      <w:r w:rsidRPr="00675032">
        <w:rPr>
          <w:sz w:val="18"/>
          <w:szCs w:val="18"/>
        </w:rPr>
        <w:t>Informacja o upadłości konsumenckiej przetwarzana w BIK może pochodzić z Banku oraz z Monitora Sądowego i Gospodarczego.</w:t>
      </w:r>
    </w:p>
    <w:p w:rsidR="00675032" w:rsidRPr="00675032" w:rsidRDefault="00675032" w:rsidP="00675032">
      <w:pPr>
        <w:jc w:val="both"/>
        <w:rPr>
          <w:sz w:val="18"/>
          <w:szCs w:val="18"/>
        </w:rPr>
      </w:pPr>
    </w:p>
    <w:p w:rsidR="000A58BB" w:rsidRPr="00675032" w:rsidRDefault="000A58BB" w:rsidP="00675032">
      <w:pPr>
        <w:pStyle w:val="Tekstpodstawowywcity2"/>
        <w:numPr>
          <w:ilvl w:val="0"/>
          <w:numId w:val="2"/>
        </w:numPr>
        <w:tabs>
          <w:tab w:val="clear" w:pos="823"/>
          <w:tab w:val="num" w:pos="-3686"/>
          <w:tab w:val="left" w:pos="-3544"/>
        </w:tabs>
        <w:spacing w:after="120" w:line="240" w:lineRule="auto"/>
        <w:ind w:left="284" w:hanging="284"/>
        <w:rPr>
          <w:b/>
          <w:sz w:val="20"/>
        </w:rPr>
      </w:pPr>
      <w:r w:rsidRPr="00675032">
        <w:rPr>
          <w:b/>
          <w:sz w:val="20"/>
        </w:rPr>
        <w:t>Okres przez który dane będą przetwarzane.</w:t>
      </w:r>
    </w:p>
    <w:p w:rsidR="000A58BB" w:rsidRPr="00675032" w:rsidRDefault="000A58BB" w:rsidP="00C749D1">
      <w:pPr>
        <w:suppressAutoHyphens/>
        <w:autoSpaceDN w:val="0"/>
        <w:jc w:val="both"/>
        <w:textAlignment w:val="baseline"/>
        <w:rPr>
          <w:sz w:val="18"/>
          <w:szCs w:val="18"/>
        </w:rPr>
      </w:pPr>
      <w:r w:rsidRPr="00675032">
        <w:rPr>
          <w:sz w:val="18"/>
          <w:szCs w:val="18"/>
        </w:rPr>
        <w:t>Pani/Pana dane osobowe będą przetwarzane przez BIK:</w:t>
      </w:r>
    </w:p>
    <w:p w:rsidR="000A58BB" w:rsidRPr="00675032" w:rsidRDefault="000A58BB" w:rsidP="00C749D1">
      <w:pPr>
        <w:pStyle w:val="Akapitzlist"/>
        <w:numPr>
          <w:ilvl w:val="0"/>
          <w:numId w:val="5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t>dla celów wykonywania czynności bankowych, w szczególności dokonywania oceny zdolności kredytowej i analizy ryzyka kredytowego – przez okres trwania Pani/Pana zobowiązania, a po jego wygaśnięciu – tylko w przypadku wyrażenia przez Panią/Pana zgody lub spełnienia warunków, o których mowa w art. 105 a ust. 3 Prawa bankowego, przy czym w żadnym wypadku nie dłużej niż przez okres 5 lat po wygaśnięciu zobowiązania, a w zakresie danych wynikających z zapytania przekazanego do BIK – przez okres nie dłuższy niż 5 lat od jego przekazania, z tym, że dane te będą udostępnianie przez okres nie dłuższy niż 12 miesięcy od ich przekazania;</w:t>
      </w:r>
    </w:p>
    <w:p w:rsidR="000A58BB" w:rsidRPr="00675032" w:rsidRDefault="000A58BB" w:rsidP="00C749D1">
      <w:pPr>
        <w:pStyle w:val="Akapitzlist"/>
        <w:numPr>
          <w:ilvl w:val="0"/>
          <w:numId w:val="5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lastRenderedPageBreak/>
        <w:t>dla celów stosowania metod wewnętrznych oraz innych metod i modeli, o których mowa w art. 105 a ust. 4 Prawa bankowego – przez okres trwania zobowiązania oraz przez okres 12 lat od wygaśnięcia zobowiązania;</w:t>
      </w:r>
    </w:p>
    <w:p w:rsidR="000A58BB" w:rsidRPr="00675032" w:rsidRDefault="000A58BB" w:rsidP="00C749D1">
      <w:pPr>
        <w:pStyle w:val="Akapitzlist"/>
        <w:numPr>
          <w:ilvl w:val="0"/>
          <w:numId w:val="5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t>dla celów statystycznych i analiz – przez okres  trwania zobowiązania oraz przez okres 12 lat od wygaśnięcia zobowiązania, a w zakresie danych wynikających z zapytania przekazanego do BIK – przez okres nie dłuższy niż 10 lat od jego przekazania;</w:t>
      </w:r>
    </w:p>
    <w:p w:rsidR="000A58BB" w:rsidRDefault="000A58BB" w:rsidP="00C749D1">
      <w:pPr>
        <w:pStyle w:val="Akapitzlist"/>
        <w:numPr>
          <w:ilvl w:val="0"/>
          <w:numId w:val="5"/>
        </w:numPr>
        <w:ind w:left="284" w:hanging="284"/>
        <w:jc w:val="both"/>
        <w:rPr>
          <w:b w:val="0"/>
          <w:sz w:val="18"/>
          <w:szCs w:val="18"/>
        </w:rPr>
      </w:pPr>
      <w:r w:rsidRPr="00675032">
        <w:rPr>
          <w:b w:val="0"/>
          <w:sz w:val="18"/>
          <w:szCs w:val="18"/>
        </w:rPr>
        <w:t>dla celów rozpatrywania Pani/Pana reklamacji i zgłoszonych roszczeń – do momentu przedawnienia Pani/Pana potencjalnych roszczeń wynikających z Umowy lub z innego tytułu.</w:t>
      </w:r>
    </w:p>
    <w:p w:rsidR="00675032" w:rsidRPr="00675032" w:rsidRDefault="00675032" w:rsidP="00C749D1">
      <w:pPr>
        <w:pStyle w:val="Akapitzlist"/>
        <w:numPr>
          <w:ilvl w:val="0"/>
          <w:numId w:val="0"/>
        </w:numPr>
        <w:ind w:left="284"/>
        <w:jc w:val="both"/>
        <w:rPr>
          <w:b w:val="0"/>
          <w:sz w:val="18"/>
          <w:szCs w:val="18"/>
        </w:rPr>
      </w:pPr>
    </w:p>
    <w:p w:rsidR="000A58BB" w:rsidRPr="00675032" w:rsidRDefault="000A58BB" w:rsidP="00675032">
      <w:pPr>
        <w:pStyle w:val="Tekstpodstawowywcity2"/>
        <w:numPr>
          <w:ilvl w:val="0"/>
          <w:numId w:val="2"/>
        </w:numPr>
        <w:tabs>
          <w:tab w:val="clear" w:pos="823"/>
          <w:tab w:val="left" w:pos="-3544"/>
        </w:tabs>
        <w:spacing w:after="120" w:line="240" w:lineRule="auto"/>
        <w:ind w:left="284" w:hanging="284"/>
        <w:rPr>
          <w:b/>
          <w:sz w:val="20"/>
        </w:rPr>
      </w:pPr>
      <w:r w:rsidRPr="00675032">
        <w:rPr>
          <w:b/>
          <w:sz w:val="20"/>
        </w:rPr>
        <w:t>Odbiorcy danych.</w:t>
      </w:r>
    </w:p>
    <w:p w:rsidR="000A58BB" w:rsidRDefault="000A58BB" w:rsidP="00675032">
      <w:pPr>
        <w:spacing w:after="120"/>
        <w:jc w:val="both"/>
        <w:rPr>
          <w:sz w:val="18"/>
          <w:szCs w:val="18"/>
        </w:rPr>
      </w:pPr>
      <w:r w:rsidRPr="00675032">
        <w:rPr>
          <w:sz w:val="18"/>
          <w:szCs w:val="18"/>
        </w:rPr>
        <w:t>Pani/Pana dane osobowe mogą być udostępniane przez BIK podmiotom uprawnionym do ich otrzymania na mocy obowiązujących przepisów prawa, w tym podmiotom wymienionym w art. 105 ust. 4 i 4d Prawa bankowego, a także do rejestru PESEL lub Rejestru Dowodów Osobistych w celu weryfikacji poprawności przekazanych danych osobowych, oraz innym podmiotom współpracującym z BIK, o ile taki podmiot dysponuje Pani/Pana zgodą. Pani/Pana dane osobowe mogą być także przekazywane podmiotom przetwarzającym dane w imieniu BIK, takim jak dostawcy usług informatycznych – przy czym takie podmioty przetwarzają dane jako podwykonawcy, na podstawie umowy z BIK i wyłącznie zgodnie z poleceniami BIK.</w:t>
      </w:r>
    </w:p>
    <w:p w:rsidR="00675032" w:rsidRPr="00675032" w:rsidRDefault="00675032" w:rsidP="00675032">
      <w:pPr>
        <w:spacing w:after="120"/>
        <w:jc w:val="both"/>
        <w:rPr>
          <w:sz w:val="18"/>
          <w:szCs w:val="18"/>
        </w:rPr>
      </w:pPr>
    </w:p>
    <w:p w:rsidR="000A58BB" w:rsidRPr="00675032" w:rsidRDefault="000A58BB" w:rsidP="00675032">
      <w:pPr>
        <w:pStyle w:val="Tekstpodstawowywcity2"/>
        <w:numPr>
          <w:ilvl w:val="0"/>
          <w:numId w:val="2"/>
        </w:numPr>
        <w:tabs>
          <w:tab w:val="clear" w:pos="823"/>
          <w:tab w:val="num" w:pos="-7371"/>
          <w:tab w:val="num" w:pos="-5387"/>
          <w:tab w:val="left" w:pos="-3544"/>
        </w:tabs>
        <w:spacing w:after="120" w:line="240" w:lineRule="auto"/>
        <w:ind w:left="284" w:hanging="284"/>
        <w:rPr>
          <w:b/>
          <w:sz w:val="20"/>
        </w:rPr>
      </w:pPr>
      <w:r w:rsidRPr="00675032">
        <w:rPr>
          <w:b/>
          <w:sz w:val="20"/>
        </w:rPr>
        <w:t>Prawa osoby, której dane dotyczą.</w:t>
      </w:r>
    </w:p>
    <w:p w:rsidR="000A58BB" w:rsidRPr="00675032" w:rsidRDefault="000A58BB" w:rsidP="00C749D1">
      <w:pPr>
        <w:tabs>
          <w:tab w:val="left" w:pos="2410"/>
        </w:tabs>
        <w:suppressAutoHyphens/>
        <w:autoSpaceDN w:val="0"/>
        <w:jc w:val="both"/>
        <w:textAlignment w:val="baseline"/>
        <w:rPr>
          <w:sz w:val="18"/>
          <w:szCs w:val="18"/>
        </w:rPr>
      </w:pPr>
      <w:r w:rsidRPr="00675032">
        <w:rPr>
          <w:b/>
          <w:sz w:val="18"/>
          <w:szCs w:val="18"/>
        </w:rPr>
        <w:t>1)</w:t>
      </w:r>
      <w:r w:rsidRPr="00675032">
        <w:rPr>
          <w:sz w:val="18"/>
          <w:szCs w:val="18"/>
        </w:rPr>
        <w:t xml:space="preserve"> Przysługuje Pani/Panu prawo dostępu do Pani/Pana danych oraz prawo żądania ich sprostowania, usunięcia, ograniczenia przetwarzania. W zakresie, w jakim podstawą przetwarzania Pani/Pana danych osobowych jest przesłanka prawnie uzasadnionego interesu administratora, przysługuje Pani/Panu prawo wniesienia sprzeciwu wobec przetwarzania Pani/Pana danych osobowych.</w:t>
      </w:r>
    </w:p>
    <w:p w:rsidR="000A58BB" w:rsidRPr="00675032" w:rsidRDefault="000A58BB" w:rsidP="00C749D1">
      <w:pPr>
        <w:tabs>
          <w:tab w:val="left" w:pos="2410"/>
        </w:tabs>
        <w:suppressAutoHyphens/>
        <w:autoSpaceDN w:val="0"/>
        <w:jc w:val="both"/>
        <w:textAlignment w:val="baseline"/>
        <w:rPr>
          <w:sz w:val="18"/>
          <w:szCs w:val="18"/>
        </w:rPr>
      </w:pPr>
      <w:r w:rsidRPr="00675032">
        <w:rPr>
          <w:b/>
          <w:sz w:val="18"/>
          <w:szCs w:val="18"/>
        </w:rPr>
        <w:t>2)</w:t>
      </w:r>
      <w:r w:rsidRPr="00675032">
        <w:rPr>
          <w:sz w:val="18"/>
          <w:szCs w:val="18"/>
        </w:rPr>
        <w:t xml:space="preserve"> W zakresie, w jakim podstawą przetwarzania Pani/Pana danych osobowych jest zgoda, ma Pani/Pan prawo wycofania zgody. Wycofanie zgody nie ma wpływu na zgodność z prawem przetwarzania, którego dokonano na podstawie zgody przed jej wycofaniem.</w:t>
      </w:r>
    </w:p>
    <w:p w:rsidR="000A58BB" w:rsidRPr="00675032" w:rsidRDefault="000A58BB" w:rsidP="00C749D1">
      <w:pPr>
        <w:tabs>
          <w:tab w:val="left" w:pos="2410"/>
        </w:tabs>
        <w:suppressAutoHyphens/>
        <w:autoSpaceDN w:val="0"/>
        <w:jc w:val="both"/>
        <w:textAlignment w:val="baseline"/>
        <w:rPr>
          <w:sz w:val="18"/>
          <w:szCs w:val="18"/>
        </w:rPr>
      </w:pPr>
      <w:r w:rsidRPr="00675032">
        <w:rPr>
          <w:b/>
          <w:sz w:val="18"/>
          <w:szCs w:val="18"/>
        </w:rPr>
        <w:t>3)</w:t>
      </w:r>
      <w:r w:rsidRPr="00675032">
        <w:rPr>
          <w:sz w:val="18"/>
          <w:szCs w:val="18"/>
        </w:rPr>
        <w:t xml:space="preserve"> W zakresie, w jakim Pani/Pana dane są przetwarzane w celu zawarcia i wykonywania Umowy lub przetwarzane na podstawie zgody – przysługuje Pani/Panu także prawo do przenoszenia danych osobowych, tj. do otrzymania od administratora Pani/Pana danych osobowych, w ustrukturyzowanym, powszechnie używanym formacie nadającym się do odczytu maszynowego. Może Pani/Pan przesłać te dane innemu administratorowi danych. Uprawnienie do przenoszenia danych nie dotyczy danych, które stanowią tajemnicę przedsiębiorstwa.</w:t>
      </w:r>
    </w:p>
    <w:p w:rsidR="000A58BB" w:rsidRPr="00675032" w:rsidRDefault="000A58BB" w:rsidP="00C749D1">
      <w:pPr>
        <w:jc w:val="both"/>
        <w:rPr>
          <w:sz w:val="18"/>
          <w:szCs w:val="18"/>
        </w:rPr>
      </w:pPr>
      <w:r w:rsidRPr="00675032">
        <w:rPr>
          <w:b/>
          <w:sz w:val="18"/>
          <w:szCs w:val="18"/>
        </w:rPr>
        <w:t>4)</w:t>
      </w:r>
      <w:r w:rsidRPr="00675032">
        <w:rPr>
          <w:sz w:val="18"/>
          <w:szCs w:val="18"/>
        </w:rPr>
        <w:t xml:space="preserve"> Przysługuje Pani/Panu również prawo wniesienia skargi do organu nadzorczego zajmującego się ochroną danych osobowych.</w:t>
      </w:r>
    </w:p>
    <w:p w:rsidR="00675032" w:rsidRPr="00675032" w:rsidRDefault="00675032" w:rsidP="00C749D1">
      <w:pPr>
        <w:jc w:val="both"/>
        <w:rPr>
          <w:sz w:val="18"/>
          <w:szCs w:val="18"/>
        </w:rPr>
      </w:pPr>
    </w:p>
    <w:p w:rsidR="00675032" w:rsidRDefault="00675032" w:rsidP="00675032">
      <w:pPr>
        <w:spacing w:after="120"/>
        <w:jc w:val="both"/>
      </w:pPr>
    </w:p>
    <w:p w:rsidR="00675032" w:rsidRDefault="00675032" w:rsidP="00675032">
      <w:pPr>
        <w:spacing w:after="120"/>
        <w:jc w:val="both"/>
      </w:pPr>
    </w:p>
    <w:p w:rsidR="00675032" w:rsidRPr="00675032" w:rsidRDefault="00675032" w:rsidP="00675032">
      <w:pPr>
        <w:spacing w:after="120"/>
        <w:jc w:val="both"/>
      </w:pPr>
    </w:p>
    <w:p w:rsidR="000A58BB" w:rsidRPr="00675032" w:rsidRDefault="000A58BB" w:rsidP="00675032">
      <w:pPr>
        <w:spacing w:before="120" w:after="120" w:line="240" w:lineRule="atLeast"/>
        <w:jc w:val="both"/>
        <w:rPr>
          <w:b/>
        </w:rPr>
      </w:pPr>
      <w:r w:rsidRPr="00675032">
        <w:rPr>
          <w:b/>
        </w:rPr>
        <w:t>Oświadczam, że zapoznałem/zapoznałam się z klauzulą informacyjną Biura Informacji Kredytowej</w:t>
      </w:r>
    </w:p>
    <w:tbl>
      <w:tblPr>
        <w:tblW w:w="10463" w:type="dxa"/>
        <w:tblLayout w:type="fixed"/>
        <w:tblLook w:val="04A0" w:firstRow="1" w:lastRow="0" w:firstColumn="1" w:lastColumn="0" w:noHBand="0" w:noVBand="1"/>
      </w:tblPr>
      <w:tblGrid>
        <w:gridCol w:w="5664"/>
        <w:gridCol w:w="4799"/>
      </w:tblGrid>
      <w:tr w:rsidR="000A58BB" w:rsidRPr="00675032" w:rsidTr="00F35311">
        <w:tc>
          <w:tcPr>
            <w:tcW w:w="5664" w:type="dxa"/>
            <w:vAlign w:val="bottom"/>
          </w:tcPr>
          <w:p w:rsidR="000A58BB" w:rsidRPr="00675032" w:rsidRDefault="000A58BB" w:rsidP="00F35311">
            <w:pPr>
              <w:ind w:left="567" w:right="257"/>
            </w:pPr>
            <w:r w:rsidRPr="00675032">
              <w:t>______________________________________</w:t>
            </w:r>
          </w:p>
        </w:tc>
        <w:tc>
          <w:tcPr>
            <w:tcW w:w="4799" w:type="dxa"/>
            <w:vAlign w:val="center"/>
          </w:tcPr>
          <w:p w:rsidR="000A58BB" w:rsidRPr="00675032" w:rsidRDefault="000A58BB" w:rsidP="00F35311">
            <w:pPr>
              <w:spacing w:line="360" w:lineRule="auto"/>
              <w:ind w:left="567" w:right="257"/>
            </w:pPr>
          </w:p>
          <w:p w:rsidR="000A58BB" w:rsidRPr="00675032" w:rsidRDefault="000A58BB" w:rsidP="00F35311">
            <w:pPr>
              <w:ind w:right="257"/>
            </w:pPr>
            <w:r w:rsidRPr="00675032">
              <w:t xml:space="preserve">   _______________________________________</w:t>
            </w:r>
          </w:p>
        </w:tc>
      </w:tr>
      <w:tr w:rsidR="000A58BB" w:rsidRPr="00675032" w:rsidTr="00F35311">
        <w:tc>
          <w:tcPr>
            <w:tcW w:w="5664" w:type="dxa"/>
          </w:tcPr>
          <w:p w:rsidR="000A58BB" w:rsidRPr="00675032" w:rsidRDefault="000A58BB" w:rsidP="00F35311">
            <w:pPr>
              <w:spacing w:before="60"/>
              <w:ind w:right="257"/>
            </w:pPr>
            <w:r w:rsidRPr="00675032">
              <w:t xml:space="preserve">                             (miejscowość, data)</w:t>
            </w:r>
          </w:p>
        </w:tc>
        <w:tc>
          <w:tcPr>
            <w:tcW w:w="4799" w:type="dxa"/>
          </w:tcPr>
          <w:p w:rsidR="000A58BB" w:rsidRPr="00675032" w:rsidRDefault="000A58BB" w:rsidP="00F35311">
            <w:pPr>
              <w:spacing w:before="60"/>
              <w:ind w:right="257"/>
            </w:pPr>
            <w:r w:rsidRPr="00675032">
              <w:t xml:space="preserve">                          (podpis Kredytobiorcy)</w:t>
            </w:r>
          </w:p>
          <w:p w:rsidR="000A58BB" w:rsidRPr="00675032" w:rsidRDefault="000A58BB" w:rsidP="00F35311">
            <w:pPr>
              <w:spacing w:before="60"/>
              <w:ind w:right="257"/>
            </w:pPr>
          </w:p>
          <w:p w:rsidR="000A58BB" w:rsidRPr="00675032" w:rsidRDefault="000A58BB" w:rsidP="00F35311">
            <w:pPr>
              <w:spacing w:before="60"/>
              <w:ind w:right="257"/>
            </w:pPr>
          </w:p>
          <w:p w:rsidR="000A58BB" w:rsidRPr="00675032" w:rsidRDefault="000A58BB" w:rsidP="00F35311">
            <w:pPr>
              <w:ind w:left="567" w:right="257"/>
              <w:jc w:val="center"/>
            </w:pPr>
          </w:p>
        </w:tc>
      </w:tr>
    </w:tbl>
    <w:p w:rsidR="00BD1344" w:rsidRDefault="00BD1344"/>
    <w:sectPr w:rsidR="00BD1344" w:rsidSect="0067503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274" w:rsidRDefault="00F57274" w:rsidP="000A58BB">
      <w:r>
        <w:separator/>
      </w:r>
    </w:p>
  </w:endnote>
  <w:endnote w:type="continuationSeparator" w:id="0">
    <w:p w:rsidR="00F57274" w:rsidRDefault="00F57274" w:rsidP="000A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274" w:rsidRDefault="00F57274" w:rsidP="000A58BB">
      <w:r>
        <w:separator/>
      </w:r>
    </w:p>
  </w:footnote>
  <w:footnote w:type="continuationSeparator" w:id="0">
    <w:p w:rsidR="00F57274" w:rsidRDefault="00F57274" w:rsidP="000A5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5B13"/>
    <w:multiLevelType w:val="hybridMultilevel"/>
    <w:tmpl w:val="A8D2F49A"/>
    <w:lvl w:ilvl="0" w:tplc="451CB0C4">
      <w:start w:val="1"/>
      <w:numFmt w:val="decimal"/>
      <w:lvlText w:val="%1)"/>
      <w:lvlJc w:val="left"/>
      <w:pPr>
        <w:ind w:left="1070" w:hanging="360"/>
      </w:pPr>
      <w:rPr>
        <w:rFonts w:hint="default"/>
        <w:b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66677"/>
    <w:multiLevelType w:val="hybridMultilevel"/>
    <w:tmpl w:val="489861D4"/>
    <w:lvl w:ilvl="0" w:tplc="66649F68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F1126"/>
    <w:multiLevelType w:val="hybridMultilevel"/>
    <w:tmpl w:val="A6B29DEE"/>
    <w:lvl w:ilvl="0" w:tplc="5EB603A4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062D9F"/>
    <w:multiLevelType w:val="hybridMultilevel"/>
    <w:tmpl w:val="9E0CA6CC"/>
    <w:lvl w:ilvl="0" w:tplc="613257A2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E5C04"/>
    <w:multiLevelType w:val="hybridMultilevel"/>
    <w:tmpl w:val="F46C98F4"/>
    <w:lvl w:ilvl="0" w:tplc="AD7C014A">
      <w:start w:val="1"/>
      <w:numFmt w:val="decimal"/>
      <w:pStyle w:val="Akapitzlist"/>
      <w:lvlText w:val="§ %1"/>
      <w:lvlJc w:val="left"/>
      <w:pPr>
        <w:ind w:left="4897" w:hanging="360"/>
      </w:pPr>
      <w:rPr>
        <w:rFonts w:hint="default"/>
      </w:rPr>
    </w:lvl>
    <w:lvl w:ilvl="1" w:tplc="6CC066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65C"/>
    <w:rsid w:val="00000F7A"/>
    <w:rsid w:val="000A58BB"/>
    <w:rsid w:val="000F67BC"/>
    <w:rsid w:val="001B3D6D"/>
    <w:rsid w:val="005D2B41"/>
    <w:rsid w:val="005D565C"/>
    <w:rsid w:val="0065144E"/>
    <w:rsid w:val="00675032"/>
    <w:rsid w:val="00786C7C"/>
    <w:rsid w:val="00A31DBD"/>
    <w:rsid w:val="00A43716"/>
    <w:rsid w:val="00A64E3D"/>
    <w:rsid w:val="00BD1344"/>
    <w:rsid w:val="00BD1C04"/>
    <w:rsid w:val="00C749D1"/>
    <w:rsid w:val="00DD6E17"/>
    <w:rsid w:val="00F068DD"/>
    <w:rsid w:val="00F46DE2"/>
    <w:rsid w:val="00F5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0A58BB"/>
    <w:pPr>
      <w:spacing w:line="360" w:lineRule="auto"/>
      <w:ind w:left="360"/>
      <w:jc w:val="both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A58BB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A58BB"/>
    <w:pPr>
      <w:numPr>
        <w:numId w:val="1"/>
      </w:numPr>
      <w:contextualSpacing/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0A58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58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58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58B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8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0A58BB"/>
    <w:pPr>
      <w:spacing w:line="360" w:lineRule="auto"/>
      <w:ind w:left="360"/>
      <w:jc w:val="both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A58BB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A58BB"/>
    <w:pPr>
      <w:numPr>
        <w:numId w:val="1"/>
      </w:numPr>
      <w:contextualSpacing/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0A58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58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58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58B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bik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b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CFF93619</Template>
  <TotalTime>3</TotalTime>
  <Pages>2</Pages>
  <Words>1066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Joachim Greger</dc:creator>
  <cp:lastModifiedBy>Ewelina Klimas</cp:lastModifiedBy>
  <cp:revision>3</cp:revision>
  <cp:lastPrinted>2018-05-21T09:29:00Z</cp:lastPrinted>
  <dcterms:created xsi:type="dcterms:W3CDTF">2018-05-21T09:28:00Z</dcterms:created>
  <dcterms:modified xsi:type="dcterms:W3CDTF">2018-05-21T09:31:00Z</dcterms:modified>
</cp:coreProperties>
</file>